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rFonts w:ascii="Montserrat" w:cs="Montserrat" w:eastAsia="Montserrat" w:hAnsi="Montserra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-1424</wp:posOffset>
            </wp:positionH>
            <wp:positionV relativeFrom="paragraph">
              <wp:posOffset>114300</wp:posOffset>
            </wp:positionV>
            <wp:extent cx="5731200" cy="1892300"/>
            <wp:effectExtent b="0" l="0" r="0" t="0"/>
            <wp:wrapNone/>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1892300"/>
                    </a:xfrm>
                    <a:prstGeom prst="rect"/>
                    <a:ln/>
                  </pic:spPr>
                </pic:pic>
              </a:graphicData>
            </a:graphic>
          </wp:anchor>
        </w:drawing>
      </w:r>
    </w:p>
    <w:p w:rsidR="00000000" w:rsidDel="00000000" w:rsidP="00000000" w:rsidRDefault="00000000" w:rsidRPr="00000000" w14:paraId="00000002">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spacing w:line="360" w:lineRule="auto"/>
        <w:jc w:val="both"/>
        <w:rPr>
          <w:rFonts w:ascii="Montserrat" w:cs="Montserrat" w:eastAsia="Montserrat" w:hAnsi="Montserrat"/>
          <w:sz w:val="26"/>
          <w:szCs w:val="26"/>
        </w:rPr>
      </w:pPr>
      <w:r w:rsidDel="00000000" w:rsidR="00000000" w:rsidRPr="00000000">
        <w:rPr>
          <w:rtl w:val="0"/>
        </w:rPr>
      </w:r>
    </w:p>
    <w:p w:rsidR="00000000" w:rsidDel="00000000" w:rsidP="00000000" w:rsidRDefault="00000000" w:rsidRPr="00000000" w14:paraId="00000009">
      <w:pPr>
        <w:spacing w:line="360" w:lineRule="auto"/>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0A">
      <w:pPr>
        <w:spacing w:line="360"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Trojan conmemora el Día Internacional de Acción por la Salud de la Mujer:</w:t>
      </w:r>
    </w:p>
    <w:p w:rsidR="00000000" w:rsidDel="00000000" w:rsidP="00000000" w:rsidRDefault="00000000" w:rsidRPr="00000000" w14:paraId="0000000B">
      <w:pPr>
        <w:spacing w:line="360"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Por una salud sexual libre, informada y sin tabúes</w:t>
      </w:r>
    </w:p>
    <w:p w:rsidR="00000000" w:rsidDel="00000000" w:rsidP="00000000" w:rsidRDefault="00000000" w:rsidRPr="00000000" w14:paraId="0000000C">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spacing w:line="240" w:lineRule="auto"/>
        <w:jc w:val="both"/>
        <w:rPr>
          <w:rFonts w:ascii="Montserrat" w:cs="Montserrat" w:eastAsia="Montserrat" w:hAnsi="Montserrat"/>
        </w:rPr>
      </w:pPr>
      <w:r w:rsidDel="00000000" w:rsidR="00000000" w:rsidRPr="00000000">
        <w:rPr>
          <w:rFonts w:ascii="Montserrat" w:cs="Montserrat" w:eastAsia="Montserrat" w:hAnsi="Montserrat"/>
          <w:b w:val="1"/>
          <w:highlight w:val="yellow"/>
          <w:rtl w:val="0"/>
        </w:rPr>
        <w:t xml:space="preserve">Ciudad de México, 27 de mayo de 2025.–</w:t>
      </w:r>
      <w:r w:rsidDel="00000000" w:rsidR="00000000" w:rsidRPr="00000000">
        <w:rPr>
          <w:rFonts w:ascii="Montserrat" w:cs="Montserrat" w:eastAsia="Montserrat" w:hAnsi="Montserrat"/>
          <w:rtl w:val="0"/>
        </w:rPr>
        <w:t xml:space="preserve"> En el marco del Día Internacional de Acción por la Salud de la Mujer, que se celebra cada 28 de mayo, Trojan reafirma su compromiso con la salud sexual y reproductiva femenina, promoviendo el acceso a información confiable, el uso de métodos de protección y el derecho de todas las mujeres a disfrutar de una vida sexual plena, segura y libre de prejuicios.</w:t>
      </w:r>
    </w:p>
    <w:p w:rsidR="00000000" w:rsidDel="00000000" w:rsidP="00000000" w:rsidRDefault="00000000" w:rsidRPr="00000000" w14:paraId="0000000E">
      <w:pPr>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De acuerdo con la Organización Mundial de la Salud, cada día se registran más de un millón de nuevas infecciones de transmisión sexual (ITS) en el mundo, muchas de las cuales afectan de manera desproporcionada a mujeres jóvenes. En América Latina, hasta el 75 % de las mujeres entre 15 y 49 años no utilizan ningún método de protección en su primera relación sexual, según datos del Fondo de Población de las Naciones Unidas (UNFPA).</w:t>
      </w:r>
    </w:p>
    <w:p w:rsidR="00000000" w:rsidDel="00000000" w:rsidP="00000000" w:rsidRDefault="00000000" w:rsidRPr="00000000" w14:paraId="00000010">
      <w:pPr>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 pesar de estos datos, hablar sobre sexualidad femenina sigue siendo un tema silenciado en muchos entornos. De acuerdo con una encuesta de Planned Parenthood, el 60 % de las mujeres considera que no recibió suficiente educación sexual durante su juventud, lo que contribuye a embarazos no planificados, desinformación sobre el placer femenino y un mayor riesgo de enfermedades.</w:t>
      </w:r>
    </w:p>
    <w:p w:rsidR="00000000" w:rsidDel="00000000" w:rsidP="00000000" w:rsidRDefault="00000000" w:rsidRPr="00000000" w14:paraId="00000012">
      <w:pPr>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Trojan, marca líder en protección sexual, impulsa iniciativas que buscan derribar estos tabúes.</w:t>
      </w:r>
    </w:p>
    <w:p w:rsidR="00000000" w:rsidDel="00000000" w:rsidP="00000000" w:rsidRDefault="00000000" w:rsidRPr="00000000" w14:paraId="00000014">
      <w:pPr>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spacing w:line="240" w:lineRule="auto"/>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“Hablar de salud sexual femenina no es solo hablar de prevención, sino también de libertad, autoconocimiento y bienestar”</w:t>
      </w:r>
      <w:r w:rsidDel="00000000" w:rsidR="00000000" w:rsidRPr="00000000">
        <w:rPr>
          <w:rFonts w:ascii="Montserrat" w:cs="Montserrat" w:eastAsia="Montserrat" w:hAnsi="Montserrat"/>
          <w:rtl w:val="0"/>
        </w:rPr>
        <w:t xml:space="preserve">, comentó </w:t>
      </w:r>
      <w:r w:rsidDel="00000000" w:rsidR="00000000" w:rsidRPr="00000000">
        <w:rPr>
          <w:rFonts w:ascii="Montserrat" w:cs="Montserrat" w:eastAsia="Montserrat" w:hAnsi="Montserrat"/>
          <w:highlight w:val="yellow"/>
          <w:rtl w:val="0"/>
        </w:rPr>
        <w:t xml:space="preserve">XXXX Trojan.</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i w:val="1"/>
          <w:rtl w:val="0"/>
        </w:rPr>
        <w:t xml:space="preserve">“En este Día Internacional de Acción por la Salud de la Mujer, queremos recordar que una vida sexual informada es un derecho, no un privilegio.”</w:t>
      </w:r>
    </w:p>
    <w:p w:rsidR="00000000" w:rsidDel="00000000" w:rsidP="00000000" w:rsidRDefault="00000000" w:rsidRPr="00000000" w14:paraId="00000016">
      <w:pPr>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Trojan continuará compartiendo recursos educativos, herramientas digitales y colaboraciones con especialistas en salud sexual y creadores de contenido, con el objetivo de fomentar un diálogo abierto, libre de juicios y con perspectiva de género, más allá del Día Internacional de Acción por la Salud de la Mujer.</w:t>
      </w:r>
    </w:p>
    <w:p w:rsidR="00000000" w:rsidDel="00000000" w:rsidP="00000000" w:rsidRDefault="00000000" w:rsidRPr="00000000" w14:paraId="00000019">
      <w:pPr>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Porque la salud sexual también es salud mental, emocional y social. Y no puede esperar. </w:t>
      </w:r>
    </w:p>
    <w:p w:rsidR="00000000" w:rsidDel="00000000" w:rsidP="00000000" w:rsidRDefault="00000000" w:rsidRPr="00000000" w14:paraId="0000001A">
      <w:pPr>
        <w:spacing w:line="360" w:lineRule="auto"/>
        <w:jc w:val="center"/>
        <w:rPr>
          <w:rFonts w:ascii="Montserrat" w:cs="Montserrat" w:eastAsia="Montserrat" w:hAnsi="Montserrat"/>
          <w:i w:val="1"/>
        </w:rPr>
      </w:pPr>
      <w:r w:rsidDel="00000000" w:rsidR="00000000" w:rsidRPr="00000000">
        <w:rPr>
          <w:rFonts w:ascii="Montserrat" w:cs="Montserrat" w:eastAsia="Montserrat" w:hAnsi="Montserrat"/>
          <w:i w:val="1"/>
          <w:rtl w:val="0"/>
        </w:rPr>
        <w:t xml:space="preserve">#ConexionesReales</w:t>
      </w:r>
    </w:p>
    <w:p w:rsidR="00000000" w:rsidDel="00000000" w:rsidP="00000000" w:rsidRDefault="00000000" w:rsidRPr="00000000" w14:paraId="0000001B">
      <w:pPr>
        <w:spacing w:line="360" w:lineRule="auto"/>
        <w:jc w:val="center"/>
        <w:rPr>
          <w:rFonts w:ascii="Montserrat" w:cs="Montserrat" w:eastAsia="Montserrat" w:hAnsi="Montserrat"/>
          <w:i w:val="1"/>
        </w:rPr>
      </w:pPr>
      <w:r w:rsidDel="00000000" w:rsidR="00000000" w:rsidRPr="00000000">
        <w:rPr>
          <w:rFonts w:ascii="Montserrat" w:cs="Montserrat" w:eastAsia="Montserrat" w:hAnsi="Montserrat"/>
          <w:i w:val="1"/>
          <w:rtl w:val="0"/>
        </w:rPr>
        <w:t xml:space="preserve">@TrojanMX</w:t>
      </w:r>
    </w:p>
    <w:p w:rsidR="00000000" w:rsidDel="00000000" w:rsidP="00000000" w:rsidRDefault="00000000" w:rsidRPr="00000000" w14:paraId="0000001C">
      <w:pPr>
        <w:spacing w:line="360" w:lineRule="auto"/>
        <w:jc w:val="both"/>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1D">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0">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1">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2">
      <w:pPr>
        <w:rPr>
          <w:rFonts w:ascii="Montserrat" w:cs="Montserrat" w:eastAsia="Montserrat" w:hAnsi="Montserrat"/>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jc w:val="center"/>
      <w:rPr/>
    </w:pPr>
    <w:r w:rsidDel="00000000" w:rsidR="00000000" w:rsidRPr="00000000">
      <w:rPr/>
      <w:drawing>
        <wp:inline distB="114300" distT="114300" distL="114300" distR="114300">
          <wp:extent cx="1201575" cy="1201575"/>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01575" cy="12015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